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4" w:rsidRPr="00874244" w:rsidRDefault="00874244" w:rsidP="0087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CBE7F1"/>
          <w:lang w:eastAsia="ru-RU"/>
        </w:rPr>
      </w:pPr>
      <w:r w:rsidRPr="00874244"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CBE7F1"/>
          <w:lang w:eastAsia="ru-RU"/>
        </w:rPr>
        <w:t>О реализации Федерального закона  от 8 мая 2010 г. № 83-ФЗ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Основание разработки:</w:t>
      </w:r>
      <w:r w:rsidRPr="00145E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CBE7F1"/>
          <w:lang w:eastAsia="ru-RU"/>
        </w:rPr>
        <w:t> 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совершенствование правового положения государственных (муниципальных) учреждений.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«Одним из ключевых звеньев предстоящей реформы является совершенствование правового статуса бюджетных учреждений». (Выступление Председателя Правительства Российской Федерации В.В. Путина на совместном заседании коллегий Минфина и Минэкономразвития России (14 мая 2010 г.).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Основные причины низкой эффективности оказания государственных (муниципальных) услуг: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1. В настоящее время за счет средств бюджета осуществляется содержание сети бюджетных учреждений вне зависимости от объема и качества оказанных ими услуг.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2. У бюджетных учреждений отсутствуют стимулы к оптимизации и повышению эффективности - это вызвано сметным финансированием.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3. Большинство бюджетных учреждений характеризуются высокой степенью закрытости управления.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Цель и задачи создания условий для эффективного оказания государственных (муниципальных) услуг.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CBE7F1"/>
          <w:lang w:eastAsia="ru-RU"/>
        </w:rPr>
        <w:t>Цель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– повышение эффективности предоставления государственных и муниципальных услуг, при условии сохранения темпов роста бюджетных расходов на их предоставление.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CBE7F1"/>
          <w:lang w:eastAsia="ru-RU"/>
        </w:rPr>
        <w:t>Задача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- создание условий и стимулов для сокращения внутренних издержек учреждений и привлечения внебюджетных средств.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CBE7F1"/>
          <w:lang w:eastAsia="ru-RU"/>
        </w:rPr>
        <w:t>Механизм достижения: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CBE7F1"/>
          <w:lang w:eastAsia="ru-RU"/>
        </w:rPr>
        <w:t>1)</w:t>
      </w: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u w:val="single"/>
          <w:shd w:val="clear" w:color="auto" w:fill="CBE7F1"/>
          <w:lang w:eastAsia="ru-RU"/>
        </w:rPr>
        <w:t>Расширение объема прав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shd w:val="clear" w:color="auto" w:fill="CBE7F1"/>
          <w:lang w:eastAsia="ru-RU"/>
        </w:rPr>
        <w:t> </w:t>
      </w: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u w:val="single"/>
          <w:shd w:val="clear" w:color="auto" w:fill="CBE7F1"/>
          <w:lang w:eastAsia="ru-RU"/>
        </w:rPr>
        <w:t>части бюджетных учреждений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(по аналогии с АУ):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     а) переход на субсидии по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госзаданию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    б) устранение субсидиарной ответственности;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    в) полученные доходы поступают в распоряжение бюджетного учреждения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CBE7F1"/>
          <w:lang w:eastAsia="ru-RU"/>
        </w:rPr>
        <w:t>2)</w:t>
      </w: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u w:val="single"/>
          <w:shd w:val="clear" w:color="auto" w:fill="CBE7F1"/>
          <w:lang w:eastAsia="ru-RU"/>
        </w:rPr>
        <w:t>Перевод остальных бюджетных учреждений в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shd w:val="clear" w:color="auto" w:fill="CBE7F1"/>
          <w:lang w:eastAsia="ru-RU"/>
        </w:rPr>
        <w:t> </w:t>
      </w: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u w:val="single"/>
          <w:shd w:val="clear" w:color="auto" w:fill="CBE7F1"/>
          <w:lang w:eastAsia="ru-RU"/>
        </w:rPr>
        <w:t>казенные учреждения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с минимальными правами по распоряжению доходами и имуществом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shd w:val="clear" w:color="auto" w:fill="CBE7F1"/>
          <w:lang w:eastAsia="ru-RU"/>
        </w:rPr>
        <w:t>Типы государственных (муниципальных) учреждений</w:t>
      </w:r>
    </w:p>
    <w:p w:rsidR="00145EBD" w:rsidRPr="00145EBD" w:rsidRDefault="00145EBD" w:rsidP="00145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CBE7F1"/>
          <w:lang w:eastAsia="ru-RU"/>
        </w:rPr>
        <w:t>   </w:t>
      </w:r>
      <w:r w:rsidRPr="00145EBD"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  <w:t>Автономные учреждения</w:t>
      </w:r>
    </w:p>
    <w:p w:rsidR="00145EBD" w:rsidRPr="00145EBD" w:rsidRDefault="00145EBD" w:rsidP="00145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CBE7F1"/>
          <w:lang w:eastAsia="ru-RU"/>
        </w:rPr>
        <w:lastRenderedPageBreak/>
        <w:t>   </w:t>
      </w:r>
      <w:r w:rsidRPr="00145EBD"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  <w:t>Бюджетные учреждения</w:t>
      </w:r>
    </w:p>
    <w:p w:rsidR="00145EBD" w:rsidRPr="00145EBD" w:rsidRDefault="00145EBD" w:rsidP="00145EB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CBE7F1"/>
          <w:lang w:eastAsia="ru-RU"/>
        </w:rPr>
        <w:t>   </w:t>
      </w:r>
      <w:r w:rsidRPr="00145EBD"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  <w:t> Казенные  учреждения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Позиции, которые не меняются у действующих бюджетных учреждений </w:t>
      </w: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br/>
        <w:t>при переходе к новому статусу: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1.</w:t>
      </w:r>
      <w:r w:rsidRPr="00145EBD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CBE7F1"/>
          <w:lang w:eastAsia="ru-RU"/>
        </w:rPr>
        <w:t>      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Счета учреждений по-прежнему открываются в Казначействе (финансовом органе);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2. На все закупки распространяется действие Закона № 94-ФЗ;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3. Система управления: не требуется переназначение руководителя и иных работников учреждения;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4. Недвижимым имуществом учреждение не может распоряжаться без согласия собственника;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5. Лицензии, свидетельства об аккредитации, иные разрешительные документы,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выданные учреждению, продолжают действовать;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6. Имущество учреждений сохраняется у них в полном объеме без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перезакрепления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В целом организационные мероприятия сведены к минимуму –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необходимо будет только внести изменения в Устав.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Кроме того, с 1 января 2011 года до 1 июля 2012 года устанавливается переходный период.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Основные изменения в статусе бюджетных учреждений - Расширение объема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прав и повышение самостоятельности бюджетных учреждений: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1. Изменение механизмов финансового обеспечения – переход с бюджетной сметы на субсидии по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госзаданию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2. Полученные доходы не являются доходами бюджета и остаются в распоряжении учреждения и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должны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shd w:val="clear" w:color="auto" w:fill="CBE7F1"/>
          <w:lang w:eastAsia="ru-RU"/>
        </w:rPr>
        <w:t>направляться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shd w:val="clear" w:color="auto" w:fill="CBE7F1"/>
          <w:lang w:eastAsia="ru-RU"/>
        </w:rPr>
        <w:t xml:space="preserve"> на достижение целей ради которых учреждение создано;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3. Расширение самостоятельности по использованию средств, полученных из бюджета;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4. Отмена субсидиарной ответственности государства по обязательствам бюджетного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учреждения;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lastRenderedPageBreak/>
        <w:t>5. Расширение прав по  распоряжению движимым имуществом (за исключением особо ценного движимого имущества);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6. Заключение гражданско-правовых договоров, приобретение прав и обязанностей от своего имени.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Отмена субсидиарной ответственности государства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по обязательствам бюджетных учреждений: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С 1 января 2011 года государство не несет ответственности по обязательствам бюджетных учреждений.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Бюджетное учреждение (БУ) отвечает по своим обязательствам своим имуществом, (за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исключениемвсего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 недвижимого имущества и особо ценного движимого имущества, закрепленного за БУ собственником или приобретенным БУ за счет средств, выделенных ему собственником на эти цели) (ст. 120 ГК РФ).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Если правоотношение с участием бюджетного учреждения возникло до 1 января 2011 года, то государство продолжает нести субсидиарную ответственность по всем обязательствам, вытекающим из такого правоотношения (п. 9 ст. 31 83-ФЗ).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Автоматический перевод в силу закона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ряда федеральных бюджетных учреждений </w:t>
      </w: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br/>
        <w:t>в казенные учреждения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Предлагается с 1 января 2011 г. создать казенные учреждения, изменив тип  бюджетных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учреждений,непосредственно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 определенных в Законе, в том числе: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- территориально обособленные школы;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- школы, в которых численность контингента обучающихся (воспитанников) значительно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ниже нормативной;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- учреждения, расположенные в микрорайонах,  где уровень жизни населения не позволяет оказывать платные услуги и тем самым покрывать недостающие расходы на содержание.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           По сути, статус казенных учреждений будет идентичен существующему, закрепленному в действующем законодательстве Российской Федерации правовому статусу бюджетного учреждения, с дополнительным ограничением в виде зачисления всех полученных учреждением средств от приносящей доходы деятельности в соответствующий бюджет. (ст. 31 83-ФЗ).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lastRenderedPageBreak/>
        <w:t>Минимизация организационных мероприятий при создании казенных учреждений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в силу закона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12"/>
          <w:szCs w:val="12"/>
          <w:shd w:val="clear" w:color="auto" w:fill="CBE7F1"/>
          <w:lang w:eastAsia="ru-RU"/>
        </w:rPr>
        <w:t>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При создании казенных учреждений в силу закона: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- не производится переназначение руководителя и иных работников учреждения;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- имущество не </w:t>
      </w:r>
      <w:proofErr w:type="spellStart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перезакрепляется</w:t>
      </w:r>
      <w:proofErr w:type="spellEnd"/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 (то есть признается закрепленным на праве оперативного управления без принятия дополнительного решения);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- лицензии, свидетельства об аккредитации, иные разрешительные документы, выданные учреждению, продолжают действовать;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- не производится перерегистрация – только вносятся изменения в Устав.</w:t>
      </w:r>
      <w:r w:rsidRPr="00145E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CBE7F1"/>
          <w:lang w:eastAsia="ru-RU"/>
        </w:rPr>
        <w:t> (</w:t>
      </w: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ст. 31 83-ФЗ).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shd w:val="clear" w:color="auto" w:fill="CBE7F1"/>
          <w:lang w:eastAsia="ru-RU"/>
        </w:rPr>
        <w:t>Бюджетные, автономные и казенные учреждения (сравнительная характеристика):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shd w:val="clear" w:color="auto" w:fill="CBE7F1"/>
          <w:lang w:eastAsia="ru-RU"/>
        </w:rPr>
        <w:t xml:space="preserve">Бюджетное учреждение (с расширенным объемом прав), автономное учреждение и казенное </w:t>
      </w:r>
      <w:proofErr w:type="spellStart"/>
      <w:r w:rsidRPr="00145EB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shd w:val="clear" w:color="auto" w:fill="CBE7F1"/>
          <w:lang w:eastAsia="ru-RU"/>
        </w:rPr>
        <w:t>учреждение:предложения</w:t>
      </w:r>
      <w:proofErr w:type="spellEnd"/>
      <w:r w:rsidRPr="00145EB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shd w:val="clear" w:color="auto" w:fill="CBE7F1"/>
          <w:lang w:eastAsia="ru-RU"/>
        </w:rPr>
        <w:t xml:space="preserve"> по распоряжению имуществом и ответственности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2520"/>
        <w:gridCol w:w="2340"/>
        <w:gridCol w:w="1980"/>
      </w:tblGrid>
      <w:tr w:rsidR="00145EBD" w:rsidRPr="00145EBD" w:rsidTr="00145EBD">
        <w:trPr>
          <w:trHeight w:val="600"/>
          <w:tblCellSpacing w:w="0" w:type="dxa"/>
        </w:trPr>
        <w:tc>
          <w:tcPr>
            <w:tcW w:w="255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25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учреждение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расширенным объемом прав)</w:t>
            </w:r>
          </w:p>
        </w:tc>
        <w:tc>
          <w:tcPr>
            <w:tcW w:w="234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учреждение</w:t>
            </w:r>
          </w:p>
        </w:tc>
        <w:tc>
          <w:tcPr>
            <w:tcW w:w="19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Казенное учреждение</w:t>
            </w:r>
          </w:p>
        </w:tc>
      </w:tr>
      <w:tr w:rsidR="00145EBD" w:rsidRPr="00145EBD" w:rsidTr="00145EBD">
        <w:trPr>
          <w:trHeight w:val="435"/>
          <w:tblCellSpacing w:w="0" w:type="dxa"/>
        </w:trPr>
        <w:tc>
          <w:tcPr>
            <w:tcW w:w="255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Субсидиарная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ответст-венность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</w:t>
            </w:r>
          </w:p>
        </w:tc>
        <w:tc>
          <w:tcPr>
            <w:tcW w:w="25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отменить</w:t>
            </w:r>
          </w:p>
        </w:tc>
        <w:tc>
          <w:tcPr>
            <w:tcW w:w="234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45EBD" w:rsidRPr="00145EBD" w:rsidTr="00145EBD">
        <w:trPr>
          <w:trHeight w:val="1095"/>
          <w:tblCellSpacing w:w="0" w:type="dxa"/>
        </w:trPr>
        <w:tc>
          <w:tcPr>
            <w:tcW w:w="255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учреждения по своим обязательствам</w:t>
            </w:r>
          </w:p>
        </w:tc>
        <w:tc>
          <w:tcPr>
            <w:tcW w:w="25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имуществом, кроме: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особо ценного движимого имущества, закрепленного собственником;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любого недвижимого имущества.</w:t>
            </w:r>
          </w:p>
        </w:tc>
        <w:tc>
          <w:tcPr>
            <w:tcW w:w="234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имуществом, кроме: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особо ценного движимого имущества, закрепленного собственником;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недвижимого имущества, закрепленного собственником;</w:t>
            </w:r>
          </w:p>
        </w:tc>
        <w:tc>
          <w:tcPr>
            <w:tcW w:w="19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доведенных ЛБО</w:t>
            </w:r>
          </w:p>
        </w:tc>
      </w:tr>
      <w:tr w:rsidR="00145EBD" w:rsidRPr="00145EBD" w:rsidTr="00145EBD">
        <w:trPr>
          <w:trHeight w:val="1095"/>
          <w:tblCellSpacing w:w="0" w:type="dxa"/>
        </w:trPr>
        <w:tc>
          <w:tcPr>
            <w:tcW w:w="255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имуществом</w:t>
            </w:r>
          </w:p>
        </w:tc>
        <w:tc>
          <w:tcPr>
            <w:tcW w:w="25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имуществом, кроме: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особо ценного движимого имущества,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закрепленного собственником;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любого недвижимого имущества.</w:t>
            </w:r>
          </w:p>
        </w:tc>
        <w:tc>
          <w:tcPr>
            <w:tcW w:w="234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имуществом, кроме: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особо ценного движимого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закрепленного собственником;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недвижимого имущества, закрепленного собственником;</w:t>
            </w:r>
          </w:p>
        </w:tc>
        <w:tc>
          <w:tcPr>
            <w:tcW w:w="19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вправе распоряжаться любым имуществом</w:t>
            </w:r>
          </w:p>
        </w:tc>
      </w:tr>
      <w:tr w:rsidR="00145EBD" w:rsidRPr="00145EBD" w:rsidTr="00145EBD">
        <w:trPr>
          <w:trHeight w:val="465"/>
          <w:tblCellSpacing w:w="0" w:type="dxa"/>
        </w:trPr>
        <w:tc>
          <w:tcPr>
            <w:tcW w:w="255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совершение крупных сделок</w:t>
            </w:r>
          </w:p>
        </w:tc>
        <w:tc>
          <w:tcPr>
            <w:tcW w:w="25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предварительного согласия учредителя</w:t>
            </w:r>
          </w:p>
        </w:tc>
        <w:tc>
          <w:tcPr>
            <w:tcW w:w="234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предварительного согласия наблюдательного совета</w:t>
            </w:r>
          </w:p>
        </w:tc>
        <w:tc>
          <w:tcPr>
            <w:tcW w:w="19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45EBD" w:rsidRPr="00145EBD" w:rsidTr="00145EBD">
        <w:trPr>
          <w:trHeight w:val="960"/>
          <w:tblCellSpacing w:w="0" w:type="dxa"/>
        </w:trPr>
        <w:tc>
          <w:tcPr>
            <w:tcW w:w="255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</w:t>
            </w:r>
          </w:p>
        </w:tc>
        <w:tc>
          <w:tcPr>
            <w:tcW w:w="25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могут определять профильные министерства.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определяет орган, выполняющих функции учредителя</w:t>
            </w:r>
          </w:p>
        </w:tc>
        <w:tc>
          <w:tcPr>
            <w:tcW w:w="234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могут определять профильные министерства.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определяет орган, выполняющих функции учредителя</w:t>
            </w:r>
          </w:p>
        </w:tc>
        <w:tc>
          <w:tcPr>
            <w:tcW w:w="19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выделяется</w:t>
            </w:r>
          </w:p>
        </w:tc>
      </w:tr>
    </w:tbl>
    <w:p w:rsidR="00145EBD" w:rsidRPr="00145EBD" w:rsidRDefault="00145EBD" w:rsidP="00145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Бюджетное учреждение (с расширенным объемом прав),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автономное учреждение и казенное учреждение:</w:t>
      </w: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br/>
      </w: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CBE7F1"/>
          <w:lang w:eastAsia="ru-RU"/>
        </w:rPr>
        <w:t>органы управления, создание, реорганизация и ликвидация,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CBE7F1"/>
          <w:lang w:eastAsia="ru-RU"/>
        </w:rPr>
        <w:t> учреждение иных организаций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5"/>
        <w:gridCol w:w="2594"/>
        <w:gridCol w:w="2374"/>
        <w:gridCol w:w="2017"/>
      </w:tblGrid>
      <w:tr w:rsidR="00145EBD" w:rsidRPr="00145EBD" w:rsidTr="00145EBD">
        <w:trPr>
          <w:trHeight w:val="540"/>
          <w:tblCellSpacing w:w="0" w:type="dxa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учреждение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расширенным объемом прав)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учреждение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Казенное учреждение</w:t>
            </w:r>
          </w:p>
        </w:tc>
      </w:tr>
      <w:tr w:rsidR="00145EBD" w:rsidRPr="00145EBD" w:rsidTr="00145EBD">
        <w:trPr>
          <w:trHeight w:val="795"/>
          <w:tblCellSpacing w:w="0" w:type="dxa"/>
        </w:trPr>
        <w:tc>
          <w:tcPr>
            <w:tcW w:w="2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Руководитель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(директор, ректор, главный врач и т.д.).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могут быть совещательные органы и органы самоуправления. 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Наблюдательный совет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(ученый совет, художественный совет и т.д.)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могут быть совещательные органы и органы самоуправления.</w:t>
            </w:r>
          </w:p>
        </w:tc>
      </w:tr>
      <w:tr w:rsidR="00145EBD" w:rsidRPr="00145EBD" w:rsidTr="00145EBD">
        <w:trPr>
          <w:trHeight w:val="1920"/>
          <w:tblCellSpacing w:w="0" w:type="dxa"/>
        </w:trPr>
        <w:tc>
          <w:tcPr>
            <w:tcW w:w="2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учреждения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Новые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федеральные БУ создаются 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решению Правительства РФ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подзаконном акте предлагается установить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создания БУ путем изменения типа автономных или казенных учреждений, передав данные полномочия от Правительства РФ профильным министерствам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Новые федеральные АУ создаются по решению Правительства РФ.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подзаконном акте предлагается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упростить создание АУ путем изменения типа БУ, передав данные полномочия от Правительства РФ профильным министерствам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Новые федеральные КУ создаются по решению Правительства РФ.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Массовый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части БУ в КУ в силу закона с 1 января 2011 года.</w:t>
            </w:r>
          </w:p>
        </w:tc>
      </w:tr>
      <w:tr w:rsidR="00145EBD" w:rsidRPr="00145EBD" w:rsidTr="00145EBD">
        <w:trPr>
          <w:trHeight w:val="930"/>
          <w:tblCellSpacing w:w="0" w:type="dxa"/>
        </w:trPr>
        <w:tc>
          <w:tcPr>
            <w:tcW w:w="2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Реорганизация и ликвидация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(банкротство запрещено)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упростить процедуру,  передав полномочия по федеральным БУ от Правительства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профильным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министерствам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решению учредителя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и порядке, установленных Гражданским кодексом РФ.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федеральных КУ – 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решению профильного министерства.</w:t>
            </w:r>
          </w:p>
        </w:tc>
      </w:tr>
      <w:tr w:rsidR="00145EBD" w:rsidRPr="00145EBD" w:rsidTr="00145EBD">
        <w:trPr>
          <w:trHeight w:val="930"/>
          <w:tblCellSpacing w:w="0" w:type="dxa"/>
        </w:trPr>
        <w:tc>
          <w:tcPr>
            <w:tcW w:w="20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внесения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в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хозяйственных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обществ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случаях, прямо установленных законом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примеру, Федеральным законом от 2 августа 2009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года№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217-ФЗ)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  </w:t>
      </w: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Бюджетное учреждение (с расширенным объемом прав), 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автономное учреждение и казенное учреждение: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CBE7F1"/>
          <w:lang w:eastAsia="ru-RU"/>
        </w:rPr>
        <w:t>финансирование, закупки, иные договоры, кредиты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99"/>
        <w:gridCol w:w="2832"/>
        <w:gridCol w:w="1997"/>
        <w:gridCol w:w="2842"/>
      </w:tblGrid>
      <w:tr w:rsidR="00145EBD" w:rsidRPr="00145EBD" w:rsidTr="00145EBD">
        <w:trPr>
          <w:trHeight w:val="645"/>
          <w:tblCellSpacing w:w="0" w:type="dxa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учреждение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расширенным объемом прав)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учреждение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Казенное учреждение</w:t>
            </w:r>
          </w:p>
        </w:tc>
      </w:tr>
      <w:tr w:rsidR="00145EBD" w:rsidRPr="00145EBD" w:rsidTr="00145EBD">
        <w:trPr>
          <w:trHeight w:val="1140"/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субсидий в соответствии с заданием учредителя, бюджетных инвестиций и субсидий на иные цели.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Доходы поступают в самостоятельное распоряжение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субсидий в соответствии с заданием учредителя, бюджетные инвестиции.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Доходы поступают в самостоятельное распоряжение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 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бюджетной сметы.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Доходы от приносящей доход деятельности зачисляются в бюджет.</w:t>
            </w:r>
          </w:p>
        </w:tc>
      </w:tr>
      <w:tr w:rsidR="00145EBD" w:rsidRPr="00145EBD" w:rsidTr="00145EBD">
        <w:trPr>
          <w:trHeight w:val="930"/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планах деятельности, государственное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(муниципальное) задание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ФХД (финансово-хозяйственной деятельности),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(муниципальное) задание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ФХД (финансово-хозяйственной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деятельности),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Смета,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отдельных учреждений - 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(муниципальное) задание</w:t>
            </w:r>
          </w:p>
        </w:tc>
      </w:tr>
      <w:tr w:rsidR="00145EBD" w:rsidRPr="00145EBD" w:rsidTr="00145EBD">
        <w:trPr>
          <w:trHeight w:val="765"/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счетов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Казначейства (финансовых органах) за исключением случаев, установленных НПА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Вправе открывать счета в банках и в соответствии с соглашением в Казначействе (финансовом органе)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Казначейства (финансовых органах) за исключением случаев, установленных НПА</w:t>
            </w:r>
          </w:p>
        </w:tc>
      </w:tr>
      <w:tr w:rsidR="00145EBD" w:rsidRPr="00145EBD" w:rsidTr="00145EBD">
        <w:trPr>
          <w:trHeight w:val="465"/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действия  94-ФЗ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в полном объеме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распространяется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в полном объеме</w:t>
            </w:r>
          </w:p>
        </w:tc>
      </w:tr>
      <w:tr w:rsidR="00145EBD" w:rsidRPr="00145EBD" w:rsidTr="00145EBD">
        <w:trPr>
          <w:trHeight w:val="1095"/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контрактов и иных гражданско-правовых договоров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 от своего имени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случаев установленных НПА, когда БУ приравнивается к получателю бюджетных средств и заключает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 от своего имени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 от имени публично-правового образования</w:t>
            </w:r>
          </w:p>
        </w:tc>
      </w:tr>
      <w:tr w:rsidR="00145EBD" w:rsidRPr="00145EBD" w:rsidTr="00145EBD">
        <w:trPr>
          <w:trHeight w:val="450"/>
          <w:tblCellSpacing w:w="0" w:type="dxa"/>
        </w:trPr>
        <w:tc>
          <w:tcPr>
            <w:tcW w:w="21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заемных средств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Могут (с ограничением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тна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крупные сделки)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Могут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</w:t>
            </w:r>
          </w:p>
        </w:tc>
      </w:tr>
    </w:tbl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</w:t>
      </w:r>
      <w:r w:rsidRPr="00145E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CBE7F1"/>
          <w:lang w:eastAsia="ru-RU"/>
        </w:rPr>
        <w:t>Бюджетное, автономное и казенное учреждение: </w:t>
      </w:r>
    </w:p>
    <w:p w:rsidR="00145EBD" w:rsidRPr="00145EBD" w:rsidRDefault="00145EBD" w:rsidP="00145EBD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</w:pPr>
      <w:r w:rsidRPr="00145EBD">
        <w:rPr>
          <w:rFonts w:ascii="Arial" w:eastAsia="Times New Roman" w:hAnsi="Arial" w:cs="Arial"/>
          <w:color w:val="555555"/>
          <w:sz w:val="18"/>
          <w:szCs w:val="18"/>
          <w:shd w:val="clear" w:color="auto" w:fill="CBE7F1"/>
          <w:lang w:eastAsia="ru-RU"/>
        </w:rPr>
        <w:t>у</w:t>
      </w:r>
      <w:r w:rsidRPr="00145EBD">
        <w:rPr>
          <w:rFonts w:ascii="Arial" w:eastAsia="Times New Roman" w:hAnsi="Arial" w:cs="Arial"/>
          <w:i/>
          <w:iCs/>
          <w:color w:val="555555"/>
          <w:sz w:val="18"/>
          <w:szCs w:val="18"/>
          <w:shd w:val="clear" w:color="auto" w:fill="CBE7F1"/>
          <w:lang w:eastAsia="ru-RU"/>
        </w:rPr>
        <w:t>чет, контроль, отчетность, открытость</w:t>
      </w:r>
    </w:p>
    <w:p w:rsidR="00145EBD" w:rsidRPr="00145EBD" w:rsidRDefault="00145EBD" w:rsidP="00145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4"/>
        <w:gridCol w:w="3633"/>
        <w:gridCol w:w="2441"/>
        <w:gridCol w:w="2067"/>
      </w:tblGrid>
      <w:tr w:rsidR="00145EBD" w:rsidRPr="00145EBD" w:rsidTr="00145EBD">
        <w:trPr>
          <w:trHeight w:val="660"/>
          <w:tblCellSpacing w:w="0" w:type="dxa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учреждение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расширенным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объемом прав)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учреждение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Казенное учреждение</w:t>
            </w:r>
          </w:p>
        </w:tc>
      </w:tr>
      <w:tr w:rsidR="00145EBD" w:rsidRPr="00145EBD" w:rsidTr="00145EBD">
        <w:trPr>
          <w:trHeight w:val="795"/>
          <w:tblCellSpacing w:w="0" w:type="dxa"/>
        </w:trPr>
        <w:tc>
          <w:tcPr>
            <w:tcW w:w="18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по упрощенному бюджетному плану счетов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145EBD" w:rsidRPr="00145EBD" w:rsidTr="00145EBD">
        <w:trPr>
          <w:trHeight w:val="1305"/>
          <w:tblCellSpacing w:w="0" w:type="dxa"/>
        </w:trPr>
        <w:tc>
          <w:tcPr>
            <w:tcW w:w="18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контроль и контроль учредителя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основном – последующий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(контроль выполнения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Предварительный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(санкционирование по  целевым субсидиям и бюджетным .инвестициям)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Последующий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(контроль выполнения </w:t>
            </w:r>
            <w:proofErr w:type="spellStart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Предварительный </w:t>
            </w: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расходам (проверка Казначейством наличия денежного обязательства), текущий и последующий контроль</w:t>
            </w:r>
          </w:p>
        </w:tc>
      </w:tr>
      <w:tr w:rsidR="00145EBD" w:rsidRPr="00145EBD" w:rsidTr="00145EBD">
        <w:trPr>
          <w:trHeight w:val="1140"/>
          <w:tblCellSpacing w:w="0" w:type="dxa"/>
        </w:trPr>
        <w:tc>
          <w:tcPr>
            <w:tcW w:w="18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и использования имущества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и использования имущества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отчетность,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отчетность,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и использования имущества</w:t>
            </w:r>
          </w:p>
        </w:tc>
      </w:tr>
      <w:tr w:rsidR="00145EBD" w:rsidRPr="00145EBD" w:rsidTr="00145EBD">
        <w:trPr>
          <w:trHeight w:val="1140"/>
          <w:tblCellSpacing w:w="0" w:type="dxa"/>
        </w:trPr>
        <w:tc>
          <w:tcPr>
            <w:tcW w:w="18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учреждении и его деятельности, публикуются в открытом доступе в сети Интернет на общероссийском сайте, который будет создан Федеральным казначейством и запущен с 1 января 2012 г.</w:t>
            </w:r>
          </w:p>
          <w:p w:rsidR="00145EBD" w:rsidRPr="00145EBD" w:rsidRDefault="00145EBD" w:rsidP="00145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32 Закона 7-ФЗ)</w:t>
            </w:r>
          </w:p>
        </w:tc>
      </w:tr>
    </w:tbl>
    <w:p w:rsidR="00145EBD" w:rsidRPr="00145EBD" w:rsidRDefault="00145EBD" w:rsidP="0014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</w:pPr>
      <w:r w:rsidRPr="00145EB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</w:t>
      </w:r>
    </w:p>
    <w:p w:rsidR="00B24750" w:rsidRPr="00145EBD" w:rsidRDefault="00B24750">
      <w:pPr>
        <w:rPr>
          <w:lang w:val="en-US"/>
        </w:rPr>
      </w:pPr>
    </w:p>
    <w:sectPr w:rsidR="00B24750" w:rsidRPr="00145EBD" w:rsidSect="00B2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DDB"/>
    <w:multiLevelType w:val="multilevel"/>
    <w:tmpl w:val="C206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002F5"/>
    <w:multiLevelType w:val="multilevel"/>
    <w:tmpl w:val="66E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77D4F"/>
    <w:multiLevelType w:val="multilevel"/>
    <w:tmpl w:val="318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EBD"/>
    <w:rsid w:val="00145EBD"/>
    <w:rsid w:val="00874244"/>
    <w:rsid w:val="00B2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2012-02-13T15:36:00Z</dcterms:created>
  <dcterms:modified xsi:type="dcterms:W3CDTF">2012-02-13T15:48:00Z</dcterms:modified>
</cp:coreProperties>
</file>